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>
          <w:trHeight w:val="300" w:hRule="atLeast"/>
        </w:trPr>
        <w:tc>
          <w:tcPr>
            <w:tcW w:w="9638" w:type="dxa"/>
            <w:tcBorders/>
            <w:vAlign w:val="center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 xml:space="preserve">Informação № </w:t>
            </w:r>
            <w:r>
              <w:rPr>
                <w:rFonts w:eastAsia="Arial" w:cs="Arial" w:ascii="Arial" w:hAnsi="Arial"/>
                <w:color w:val="FF0000"/>
                <w:sz w:val="22"/>
                <w:szCs w:val="22"/>
              </w:rPr>
              <w:t>XX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/20</w:t>
            </w:r>
            <w:r>
              <w:rPr>
                <w:rFonts w:eastAsia="Arial" w:cs="Arial" w:ascii="Arial" w:hAnsi="Arial"/>
                <w:color w:val="FF0000"/>
                <w:sz w:val="22"/>
                <w:szCs w:val="22"/>
              </w:rPr>
              <w:t>XX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 xml:space="preserve">/SEA/DGPA/COCPA/PROJ                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szCs w:val="22"/>
              </w:rPr>
              <w:t>Florianópolis, data da assinatura.</w:t>
            </w:r>
          </w:p>
        </w:tc>
      </w:tr>
    </w:tbl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3"/>
        <w:widowControl/>
        <w:spacing w:lineRule="auto" w:line="240"/>
        <w:ind w:left="4876" w:right="0" w:hanging="0"/>
        <w:jc w:val="both"/>
        <w:rPr>
          <w:rFonts w:ascii="Arial" w:hAnsi="Arial" w:eastAsia="Arial" w:cs="Arial"/>
          <w:b w:val="false"/>
          <w:b w:val="false"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Referência:</w:t>
      </w:r>
      <w:r>
        <w:rPr>
          <w:rFonts w:eastAsia="Arial" w:cs="Arial" w:ascii="Arial" w:hAnsi="Arial"/>
          <w:b w:val="false"/>
          <w:color w:val="000000"/>
          <w:sz w:val="22"/>
          <w:szCs w:val="22"/>
        </w:rPr>
        <w:t xml:space="preserve"> Processo SEA </w:t>
      </w:r>
      <w:r>
        <w:rPr>
          <w:rFonts w:eastAsia="Arial" w:cs="Arial" w:ascii="Arial" w:hAnsi="Arial"/>
          <w:color w:val="FF0000"/>
          <w:sz w:val="22"/>
          <w:szCs w:val="22"/>
        </w:rPr>
        <w:t>XX/XXXX</w:t>
      </w:r>
    </w:p>
    <w:p>
      <w:pPr>
        <w:pStyle w:val="LOnormal3"/>
        <w:widowControl/>
        <w:spacing w:lineRule="auto" w:line="240"/>
        <w:ind w:left="4876" w:right="0" w:hanging="0"/>
        <w:jc w:val="both"/>
        <w:rPr>
          <w:rFonts w:ascii="Arial" w:hAnsi="Arial" w:eastAsia="Arial" w:cs="Arial"/>
          <w:b w:val="false"/>
          <w:b w:val="false"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Assunto:</w:t>
      </w:r>
      <w:r>
        <w:rPr>
          <w:rFonts w:eastAsia="Arial" w:cs="Arial" w:ascii="Arial" w:hAnsi="Arial"/>
          <w:b w:val="false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RELATÓRIO DE MOVIMENTAÇÃO MENSAL DO SIGEP - ANO </w:t>
      </w:r>
      <w:r>
        <w:rPr>
          <w:rFonts w:eastAsia="Arial" w:cs="Arial" w:ascii="Arial" w:hAnsi="Arial"/>
          <w:color w:val="FF0000"/>
          <w:sz w:val="22"/>
          <w:szCs w:val="22"/>
        </w:rPr>
        <w:t>XXXX</w:t>
      </w:r>
    </w:p>
    <w:p>
      <w:pPr>
        <w:pStyle w:val="LOnormal3"/>
        <w:widowControl/>
        <w:spacing w:lineRule="auto" w:line="240"/>
        <w:ind w:left="4876" w:right="0" w:hanging="0"/>
        <w:jc w:val="both"/>
        <w:rPr>
          <w:rFonts w:ascii="Arial" w:hAnsi="Arial" w:eastAsia="Arial" w:cs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LOnormal3"/>
        <w:spacing w:lineRule="auto" w:line="240"/>
        <w:ind w:left="0" w:right="0" w:hanging="0"/>
        <w:jc w:val="both"/>
        <w:rPr>
          <w:rFonts w:ascii="Arial" w:hAnsi="Arial" w:eastAsia="Arial" w:cs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z w:val="22"/>
          <w:szCs w:val="22"/>
          <w:shd w:fill="auto" w:val="clear"/>
        </w:rPr>
        <w:tab/>
        <w:t xml:space="preserve">Senhor </w:t>
      </w:r>
      <w:r>
        <w:rPr>
          <w:rFonts w:eastAsia="Arial" w:cs="Arial" w:ascii="Arial" w:hAnsi="Arial"/>
          <w:sz w:val="22"/>
          <w:szCs w:val="22"/>
        </w:rPr>
        <w:t>Contador</w:t>
      </w:r>
      <w:r>
        <w:rPr>
          <w:rFonts w:eastAsia="Arial" w:cs="Arial" w:ascii="Arial" w:hAnsi="Arial"/>
          <w:color w:val="000000"/>
          <w:sz w:val="22"/>
          <w:szCs w:val="22"/>
          <w:shd w:fill="auto" w:val="clear"/>
        </w:rPr>
        <w:t>,</w:t>
      </w:r>
    </w:p>
    <w:p>
      <w:pPr>
        <w:pStyle w:val="LOnormal3"/>
        <w:spacing w:lineRule="auto" w:line="240"/>
        <w:ind w:left="0" w:right="0" w:hanging="0"/>
        <w:jc w:val="both"/>
        <w:rPr>
          <w:rFonts w:ascii="Arial" w:hAnsi="Arial" w:eastAsia="Arial" w:cs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LOnormal3"/>
        <w:spacing w:lineRule="auto" w:line="240"/>
        <w:ind w:left="0" w:right="0" w:hanging="0"/>
        <w:jc w:val="both"/>
        <w:rPr>
          <w:rFonts w:ascii="Arial" w:hAnsi="Arial" w:eastAsia="Arial" w:cs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Em complement</w:t>
      </w:r>
      <w:r>
        <w:rPr>
          <w:rFonts w:eastAsia="Arial" w:cs="Arial" w:ascii="Arial" w:hAnsi="Arial"/>
          <w:sz w:val="22"/>
          <w:szCs w:val="22"/>
        </w:rPr>
        <w:t>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aos Relatório</w:t>
      </w:r>
      <w:r>
        <w:rPr>
          <w:rFonts w:eastAsia="Arial" w:cs="Arial" w:ascii="Arial" w:hAnsi="Arial"/>
          <w:sz w:val="22"/>
          <w:szCs w:val="22"/>
        </w:rPr>
        <w:t xml:space="preserve">s de Movimentação Mensal do Sistema de Patrimônio, relativos ao mês </w:t>
      </w:r>
      <w:r>
        <w:rPr>
          <w:rFonts w:eastAsia="Arial" w:cs="Arial" w:ascii="Arial" w:hAnsi="Arial"/>
          <w:color w:val="FF0000"/>
          <w:sz w:val="22"/>
          <w:szCs w:val="22"/>
        </w:rPr>
        <w:t>XX de 20XX</w:t>
      </w:r>
      <w:r>
        <w:rPr>
          <w:rFonts w:eastAsia="Arial" w:cs="Arial" w:ascii="Arial" w:hAnsi="Arial"/>
          <w:sz w:val="22"/>
          <w:szCs w:val="22"/>
        </w:rPr>
        <w:t xml:space="preserve">, encaminhamos documento informativo com detalhes sobre os Termos de Cessão de Uso dos imóveis ocupados pelo Estado. A classificação de Cessão Uso categorizada por condições foi realizada em conformidade com o Item 104 da Nota Técnica de Procedimento Contábil nº 006/2021 da Secretaria de Estado da Fazenda de Santa Catarina. Destaca-se que todos os termos de cessão de uso analisados são de modalidade </w:t>
      </w:r>
      <w:r>
        <w:rPr>
          <w:rFonts w:eastAsia="Arial" w:cs="Arial" w:ascii="Arial" w:hAnsi="Arial"/>
          <w:color w:val="FF0000"/>
          <w:sz w:val="22"/>
          <w:szCs w:val="22"/>
        </w:rPr>
        <w:t>gratuita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 xml:space="preserve">Síntese das movimentações ocorridas no presente mês relativas a imóveis em Cessão de Uso ao Estado: </w:t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</w:r>
    </w:p>
    <w:p>
      <w:pPr>
        <w:pStyle w:val="LOnormal3"/>
        <w:spacing w:lineRule="auto" w:line="240" w:before="0" w:after="57"/>
        <w:ind w:lef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Table2"/>
        <w:tblW w:w="963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530"/>
        <w:gridCol w:w="855"/>
        <w:gridCol w:w="1440"/>
        <w:gridCol w:w="1619"/>
        <w:gridCol w:w="1501"/>
        <w:gridCol w:w="1425"/>
        <w:gridCol w:w="1259"/>
      </w:tblGrid>
      <w:tr>
        <w:trPr>
          <w:trHeight w:val="400" w:hRule="atLeast"/>
        </w:trPr>
        <w:tc>
          <w:tcPr>
            <w:tcW w:w="9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INCORPORAÇÕES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SIGEP</w:t>
            </w:r>
          </w:p>
        </w:tc>
        <w:tc>
          <w:tcPr>
            <w:tcW w:w="30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TERRENO</w:t>
            </w:r>
          </w:p>
        </w:tc>
        <w:tc>
          <w:tcPr>
            <w:tcW w:w="29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BENFEITORIA</w:t>
            </w:r>
          </w:p>
        </w:tc>
        <w:tc>
          <w:tcPr>
            <w:tcW w:w="12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259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 (CESSÃO DE USO AO ESTADO)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5563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50.000,00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100.000,00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150.000,00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PATRIMÔNIO DA UNIÃO (CESSÃO DE USO AO ESTADO)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LOnormal3"/>
        <w:spacing w:lineRule="auto" w:line="240" w:before="0" w:after="57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spacing w:lineRule="auto" w:line="240" w:before="0" w:after="57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spacing w:lineRule="auto" w:line="240" w:before="0" w:after="57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Table3"/>
        <w:tblW w:w="963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530"/>
        <w:gridCol w:w="855"/>
        <w:gridCol w:w="1440"/>
        <w:gridCol w:w="1619"/>
        <w:gridCol w:w="1501"/>
        <w:gridCol w:w="1425"/>
        <w:gridCol w:w="1259"/>
      </w:tblGrid>
      <w:tr>
        <w:trPr>
          <w:trHeight w:val="400" w:hRule="atLeast"/>
        </w:trPr>
        <w:tc>
          <w:tcPr>
            <w:tcW w:w="9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DESINCORPORAÇÕES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SIGEP</w:t>
            </w:r>
          </w:p>
        </w:tc>
        <w:tc>
          <w:tcPr>
            <w:tcW w:w="30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TERRENO</w:t>
            </w:r>
          </w:p>
        </w:tc>
        <w:tc>
          <w:tcPr>
            <w:tcW w:w="29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BENFEITORIA</w:t>
            </w:r>
          </w:p>
        </w:tc>
        <w:tc>
          <w:tcPr>
            <w:tcW w:w="12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259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 (CESSÃO DE USO AO ESTADO)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PATRIMÔNIO DA UNIÃO (CESSÃO DE USO AO ESTADO)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LOnormal3"/>
        <w:spacing w:lineRule="auto" w:line="240" w:before="0" w:after="57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spacing w:lineRule="auto" w:line="240" w:before="0" w:after="57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Table4"/>
        <w:tblW w:w="963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530"/>
        <w:gridCol w:w="855"/>
        <w:gridCol w:w="1440"/>
        <w:gridCol w:w="1619"/>
        <w:gridCol w:w="1501"/>
        <w:gridCol w:w="1425"/>
        <w:gridCol w:w="1259"/>
      </w:tblGrid>
      <w:tr>
        <w:trPr>
          <w:trHeight w:val="400" w:hRule="atLeast"/>
        </w:trPr>
        <w:tc>
          <w:tcPr>
            <w:tcW w:w="9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REAVALIAÇÕES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SIGEP</w:t>
            </w:r>
          </w:p>
        </w:tc>
        <w:tc>
          <w:tcPr>
            <w:tcW w:w="30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TERRENO</w:t>
            </w:r>
          </w:p>
        </w:tc>
        <w:tc>
          <w:tcPr>
            <w:tcW w:w="29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BENFEITORIA</w:t>
            </w:r>
          </w:p>
        </w:tc>
        <w:tc>
          <w:tcPr>
            <w:tcW w:w="12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259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 (CESSÃO DE USO AO ESTADO)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PATRIMÔNIO DA UNIÃO (CESSÃO DE USO AO ESTADO)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53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LOnormal3"/>
        <w:spacing w:lineRule="auto" w:line="240" w:before="0" w:after="57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>Em seguida, apresentamos os totais apurados após as movimentações apresentadas acima:</w:t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Município (Cessão de Uso ao Estado):</w:t>
      </w:r>
    </w:p>
    <w:p>
      <w:pPr>
        <w:pStyle w:val="LOnormal3"/>
        <w:keepNext w:val="false"/>
        <w:keepLines w:val="false"/>
        <w:pageBreakBefore w:val="false"/>
        <w:widowControl/>
        <w:numPr>
          <w:ilvl w:val="1"/>
          <w:numId w:val="1"/>
        </w:numPr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Terrenos: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Sem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Com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1"/>
          <w:numId w:val="1"/>
        </w:numPr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Benfeitorias: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Sem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Com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1"/>
          <w:numId w:val="1"/>
        </w:numPr>
        <w:shd w:val="clear" w:fill="auto"/>
        <w:spacing w:lineRule="auto" w:line="240" w:before="0" w:after="57"/>
        <w:ind w:left="1440" w:right="0" w:hanging="36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Total Município (Cessão de Uso ao Estado): R$ </w:t>
      </w:r>
      <w:r>
        <w:rPr>
          <w:rFonts w:eastAsia="Arial" w:cs="Arial" w:ascii="Arial" w:hAnsi="Arial"/>
          <w:b/>
          <w:color w:val="FF0000"/>
          <w:sz w:val="22"/>
          <w:szCs w:val="22"/>
        </w:rPr>
        <w:t>XX.XXX,XX</w:t>
      </w:r>
      <w:r>
        <w:rPr>
          <w:rFonts w:eastAsia="Arial" w:cs="Arial" w:ascii="Arial" w:hAnsi="Arial"/>
          <w:b/>
          <w:sz w:val="22"/>
          <w:szCs w:val="22"/>
        </w:rPr>
        <w:t>*</w:t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144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Patrimônio da União (Cessão de Uso ao Estado):</w:t>
      </w:r>
    </w:p>
    <w:p>
      <w:pPr>
        <w:pStyle w:val="LOnormal3"/>
        <w:numPr>
          <w:ilvl w:val="1"/>
          <w:numId w:val="1"/>
        </w:numPr>
        <w:spacing w:lineRule="auto" w:line="240" w:before="0" w:after="0"/>
        <w:ind w:left="144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Terrenos: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pBdr/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Sem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pBdr/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Com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Benfeitorias: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pBdr/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Sem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2"/>
          <w:numId w:val="1"/>
        </w:numPr>
        <w:pBdr/>
        <w:shd w:val="clear" w:fill="auto"/>
        <w:spacing w:lineRule="auto" w:line="240" w:before="0" w:after="0"/>
        <w:ind w:left="2160" w:right="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Com condições: R$ </w:t>
      </w:r>
      <w:r>
        <w:rPr>
          <w:rFonts w:eastAsia="Arial" w:cs="Arial" w:ascii="Arial" w:hAnsi="Arial"/>
          <w:color w:val="FF0000"/>
          <w:sz w:val="22"/>
          <w:szCs w:val="22"/>
        </w:rPr>
        <w:t>XX.XXX,XX</w:t>
      </w:r>
    </w:p>
    <w:p>
      <w:pPr>
        <w:pStyle w:val="LOnormal3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57"/>
        <w:ind w:left="1440" w:right="0" w:hanging="36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Total Patrimônio da União (Cessão de Uso ao Estado): R$ </w:t>
      </w:r>
      <w:r>
        <w:rPr>
          <w:rFonts w:eastAsia="Arial" w:cs="Arial" w:ascii="Arial" w:hAnsi="Arial"/>
          <w:b/>
          <w:color w:val="FF0000"/>
          <w:sz w:val="22"/>
          <w:szCs w:val="22"/>
        </w:rPr>
        <w:t>XX.XXX,XX</w:t>
      </w:r>
      <w:r>
        <w:rPr>
          <w:rFonts w:eastAsia="Arial" w:cs="Arial" w:ascii="Arial" w:hAnsi="Arial"/>
          <w:b/>
          <w:sz w:val="22"/>
          <w:szCs w:val="22"/>
        </w:rPr>
        <w:t>*</w:t>
      </w:r>
    </w:p>
    <w:p>
      <w:pPr>
        <w:pStyle w:val="LOnormal3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57"/>
        <w:ind w:left="144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spacing w:lineRule="auto" w:line="240" w:before="0" w:after="57"/>
        <w:ind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*Observação: A diferença entre o valor constante no relatório mensal e o total apurado através dos Termos de Cessão de Uso refere-se aos cadastros SIGEP que não possuem Termo de Cessão de Uso disponível, mas foram incorporados por serem de propriedade da União/Município e estarem ocupados pelo Estado de Santa Catarina. Dessa forma, não foi possível determinar se a ocupação é com ou sem condições.</w:t>
      </w:r>
    </w:p>
    <w:p>
      <w:pPr>
        <w:pStyle w:val="LOnormal3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57"/>
        <w:ind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57"/>
        <w:ind w:right="0"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Abaixo, seguem as planilhas dos levantamentos efetuados por meio dos Termos de Cessão de Uso de forma consolidada. Nela constam os cadastros ativos no sistema na data final do presente mês.</w:t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Table5"/>
        <w:tblW w:w="966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079"/>
        <w:gridCol w:w="1816"/>
        <w:gridCol w:w="1829"/>
        <w:gridCol w:w="1891"/>
        <w:gridCol w:w="1845"/>
        <w:gridCol w:w="1199"/>
      </w:tblGrid>
      <w:tr>
        <w:trPr>
          <w:trHeight w:val="315" w:hRule="atLeast"/>
        </w:trPr>
        <w:tc>
          <w:tcPr>
            <w:tcW w:w="8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 (CESSÃO DE USO AO ESTADO)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SIGEP</w:t>
            </w:r>
          </w:p>
        </w:tc>
        <w:tc>
          <w:tcPr>
            <w:tcW w:w="36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TERRENO</w:t>
            </w:r>
          </w:p>
        </w:tc>
        <w:tc>
          <w:tcPr>
            <w:tcW w:w="373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BENFEITORIA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5122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111.611,25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111.611,25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5220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5877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50.000,00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5882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6006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575.137,88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575.137,88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6008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400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6009</w:t>
            </w:r>
          </w:p>
        </w:tc>
        <w:tc>
          <w:tcPr>
            <w:tcW w:w="85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Termo de Cessão de Uso não disponível - Em processo de doação ao estado: CBMSC 29152/2021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6012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6015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6016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6017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6020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195.000,00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778.000,00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973.000,00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6021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6023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61.712,53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331.299,24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393.011,77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6026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175.000,00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175.000,00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6027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6028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6029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6030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6031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300.000,00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300.000,00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6033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6098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6099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6100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6101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6102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23.000,00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53.000,00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6103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120.000,00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38.000,00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158.000,00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6104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6105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6106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29.000,00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31.000,00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6107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45.000,00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45.000,00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6108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75.000,00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75.000,00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6109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6110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52.000,00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52.000,00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6111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6112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240.000,00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240.000,00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6113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372.000,00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355.876,18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727.876,18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6117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6118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6120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585.143,00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66.584,46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651.727,46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6121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23.711,00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23.711,00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50.000,00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3.907.315,66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1.623.759,88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5.581.075,54</w:t>
            </w:r>
          </w:p>
        </w:tc>
      </w:tr>
    </w:tbl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Table6"/>
        <w:tblW w:w="9637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929"/>
        <w:gridCol w:w="1831"/>
        <w:gridCol w:w="1830"/>
        <w:gridCol w:w="1830"/>
        <w:gridCol w:w="1830"/>
        <w:gridCol w:w="1386"/>
      </w:tblGrid>
      <w:tr>
        <w:trPr>
          <w:trHeight w:val="315" w:hRule="atLeast"/>
        </w:trPr>
        <w:tc>
          <w:tcPr>
            <w:tcW w:w="8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PATRIMÔNIO DA UNIÃO (CESSÃO DE USO AO ESTADO)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SIGEP</w:t>
            </w:r>
          </w:p>
        </w:tc>
        <w:tc>
          <w:tcPr>
            <w:tcW w:w="36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TERRENO</w:t>
            </w:r>
          </w:p>
        </w:tc>
        <w:tc>
          <w:tcPr>
            <w:tcW w:w="36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BENFEITORIA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 CONDIÇÕES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 CONDIÇÕES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400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422</w:t>
            </w:r>
          </w:p>
        </w:tc>
        <w:tc>
          <w:tcPr>
            <w:tcW w:w="870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Termo de Cessão de Uso não disponível - Em processo de levantamento de informações: SEA 1917/2023</w:t>
            </w:r>
          </w:p>
        </w:tc>
      </w:tr>
      <w:tr>
        <w:trPr>
          <w:trHeight w:val="400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4846</w:t>
            </w:r>
          </w:p>
        </w:tc>
        <w:tc>
          <w:tcPr>
            <w:tcW w:w="870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Termo de Cessão de Uso não disponível - Aguardando doação por parte da União</w:t>
            </w:r>
          </w:p>
        </w:tc>
      </w:tr>
      <w:tr>
        <w:trPr>
          <w:trHeight w:val="400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5880</w:t>
            </w:r>
          </w:p>
        </w:tc>
        <w:tc>
          <w:tcPr>
            <w:tcW w:w="870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Termo de Cessão de Uso não disponível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6011</w:t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19.679.458,96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1.762.286,63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21.441.745,59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6019</w:t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0,00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19.679.458,96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0,00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1.762.286,63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LOnormal3"/>
              <w:widowControl w:val="false"/>
              <w:spacing w:lineRule="auto" w:line="27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21.441.745,59</w:t>
            </w:r>
          </w:p>
        </w:tc>
      </w:tr>
    </w:tbl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3"/>
        <w:widowControl/>
        <w:spacing w:lineRule="auto" w:line="240" w:before="0" w:after="0"/>
        <w:ind w:left="0" w:right="0" w:firstLine="4762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2"/>
          <w:szCs w:val="22"/>
          <w:shd w:fill="auto" w:val="clear"/>
        </w:rPr>
      </w:r>
    </w:p>
    <w:p>
      <w:pPr>
        <w:pStyle w:val="LOnormal3"/>
        <w:spacing w:lineRule="auto" w:line="240" w:before="0" w:after="0"/>
        <w:ind w:left="0" w:right="0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  <w:t>Nome do servidor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  <w:t>Cargo do servidor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(assinado digitalmente)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  <w:t>Nome do servidor</w:t>
      </w:r>
    </w:p>
    <w:p>
      <w:pPr>
        <w:pStyle w:val="LOnormal3"/>
        <w:ind w:left="3543" w:hanging="0"/>
        <w:jc w:val="both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FF0000"/>
          <w:sz w:val="22"/>
          <w:szCs w:val="22"/>
        </w:rPr>
        <w:t>Cargo do servidor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(assinado digitalmente)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  <w:t>Nome da coordenadora</w:t>
      </w:r>
    </w:p>
    <w:p>
      <w:pPr>
        <w:pStyle w:val="LOnormal3"/>
        <w:ind w:left="3543" w:hanging="0"/>
        <w:jc w:val="both"/>
        <w:rPr>
          <w:color w:val="auto"/>
        </w:rPr>
      </w:pPr>
      <w:r>
        <w:rPr>
          <w:rFonts w:eastAsia="Arial" w:cs="Arial" w:ascii="Arial" w:hAnsi="Arial"/>
          <w:color w:val="auto"/>
          <w:sz w:val="22"/>
          <w:szCs w:val="22"/>
        </w:rPr>
        <w:t>Coordenadora de Controle Patrimonial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(assinado digitalmente) 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DE ACORDO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  <w:t>Nome do gerente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Gerente de Bens Imóveis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(assinado digitalmente) 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DE ACORDO</w:t>
      </w:r>
    </w:p>
    <w:p>
      <w:pPr>
        <w:pStyle w:val="LOnormal3"/>
        <w:ind w:lef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3"/>
        <w:ind w:left="3543" w:hanging="0"/>
        <w:jc w:val="both"/>
        <w:rPr>
          <w:rFonts w:ascii="Arial" w:hAnsi="Arial" w:eastAsia="Arial" w:cs="Arial"/>
          <w:b/>
          <w:b/>
          <w:color w:val="FF0000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  <w:t>Nome do diretor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Diretor de Gestão Patrimonial</w:t>
      </w:r>
    </w:p>
    <w:p>
      <w:pPr>
        <w:pStyle w:val="LOnormal3"/>
        <w:ind w:left="354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(assinado digitalmente) </w:t>
      </w:r>
    </w:p>
    <w:p>
      <w:pPr>
        <w:pStyle w:val="LOnormal3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3515" w:right="510" w:hanging="0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29" w:top="150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3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-641985</wp:posOffset>
          </wp:positionH>
          <wp:positionV relativeFrom="paragraph">
            <wp:posOffset>110490</wp:posOffset>
          </wp:positionV>
          <wp:extent cx="586105" cy="63436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95" t="-1941" r="-2095" b="-1941"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3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ESTADO DE SANTA CATARINA</w:t>
    </w:r>
  </w:p>
  <w:p>
    <w:pPr>
      <w:pStyle w:val="LOnormal3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SECRETARIA DE ESTADO DA ADMINISTRAÇÃO</w:t>
    </w:r>
  </w:p>
  <w:p>
    <w:pPr>
      <w:pStyle w:val="LOnormal3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DIRETORIA DE GESTÃO PATRIMONIAL</w:t>
    </w:r>
  </w:p>
  <w:p>
    <w:pPr>
      <w:pStyle w:val="LOnormal3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FF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color w:val="FF0000"/>
        <w:sz w:val="21"/>
        <w:szCs w:val="21"/>
      </w:rPr>
      <w:t>COORDENADORIA DE CONTROLE PATRIMONIAL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3"/>
    <w:next w:val="LOnormal3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3"/>
    <w:next w:val="LOnormal3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3"/>
    <w:next w:val="LOnormal3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3"/>
    <w:next w:val="LOnormal3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3"/>
    <w:next w:val="LOnormal3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3"/>
    <w:next w:val="LOnormal3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LOnormal3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3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3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5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3"/>
    <w:next w:val="LOnormal3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3" w:default="1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abealhoeRodap">
    <w:name w:val="Cabeçalho e Rodapé"/>
    <w:basedOn w:val="LOnormal3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3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6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ontedodatabela">
    <w:name w:val="Conteúdo da tabela"/>
    <w:basedOn w:val="LOnormal3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GenStyleDefPar">
    <w:name w:val="GenStyleDefP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pt-BR" w:eastAsia="pt-BR" w:bidi="pt-BR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FSOsc7X3mHhX8F7ASmeRm+DVog==">CgMxLjAaHwoBMBIaChgICVIUChJ0YWJsZS52cGNpM3B1YWQ0c2w4AHIhMXhibEYyVmZsWVlLSHJURjBySktJdmUxWEVjMkZ6NFdI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5</Pages>
  <Words>694</Words>
  <Characters>4082</Characters>
  <CharactersWithSpaces>4538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2024-09-25T17:47:51Z</dcterms:modified>
  <cp:revision>1</cp:revision>
  <dc:subject/>
  <dc:title/>
</cp:coreProperties>
</file>